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AE5A" w14:textId="77777777" w:rsidR="00532D4D" w:rsidRDefault="005D3232">
      <w:r>
        <w:rPr>
          <w:noProof/>
          <w:sz w:val="24"/>
          <w:szCs w:val="24"/>
        </w:rPr>
        <w:drawing>
          <wp:inline distT="0" distB="0" distL="0" distR="0" wp14:anchorId="6E23CA65" wp14:editId="6E1869C4">
            <wp:extent cx="2382520" cy="486410"/>
            <wp:effectExtent l="0" t="0" r="0" b="0"/>
            <wp:docPr id="12" name="image2.png" descr="D:\hepsi\belgelerim\Masaüstü\logo-erasmus-pl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hepsi\belgelerim\Masaüstü\logo-erasmus-plu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8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99E85C1" wp14:editId="117E1934">
            <wp:extent cx="1006475" cy="528320"/>
            <wp:effectExtent l="0" t="0" r="0" b="0"/>
            <wp:docPr id="13" name="image1.jpg" descr="D:\hepsi\belgelerim\Masaüstü\u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hepsi\belgelerim\Masaüstü\ua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E599A9" w14:textId="77777777" w:rsidR="00A51E53" w:rsidRDefault="00A51E53" w:rsidP="00A51E53">
      <w:pPr>
        <w:spacing w:line="240" w:lineRule="auto"/>
        <w:jc w:val="center"/>
        <w:rPr>
          <w:b/>
          <w:bCs/>
          <w:lang w:val="tr-TR"/>
        </w:rPr>
      </w:pPr>
    </w:p>
    <w:p w14:paraId="0747B73B" w14:textId="77777777" w:rsidR="00A51E53" w:rsidRDefault="00A51E53" w:rsidP="00A51E53">
      <w:pPr>
        <w:spacing w:line="240" w:lineRule="auto"/>
        <w:jc w:val="center"/>
        <w:rPr>
          <w:b/>
        </w:rPr>
      </w:pPr>
      <w:r w:rsidRPr="00A51E53">
        <w:rPr>
          <w:b/>
        </w:rPr>
        <w:t xml:space="preserve">Erasmus+ World KA171 International Credit Mobility </w:t>
      </w:r>
    </w:p>
    <w:p w14:paraId="56AB19D0" w14:textId="7D0A1800" w:rsidR="00A51E53" w:rsidRDefault="00A51E53" w:rsidP="00A51E53">
      <w:pPr>
        <w:spacing w:line="240" w:lineRule="auto"/>
        <w:jc w:val="center"/>
        <w:rPr>
          <w:b/>
        </w:rPr>
      </w:pPr>
      <w:r w:rsidRPr="00A51E53">
        <w:rPr>
          <w:b/>
        </w:rPr>
        <w:t xml:space="preserve">Outgoing Student Applications </w:t>
      </w:r>
    </w:p>
    <w:p w14:paraId="4A5784C3" w14:textId="6DCFC450" w:rsidR="00A51E53" w:rsidRPr="00A51E53" w:rsidRDefault="00A51E53" w:rsidP="00A51E53">
      <w:pPr>
        <w:spacing w:line="240" w:lineRule="auto"/>
        <w:jc w:val="center"/>
        <w:rPr>
          <w:b/>
        </w:rPr>
      </w:pPr>
      <w:r w:rsidRPr="00A51E53">
        <w:rPr>
          <w:b/>
        </w:rPr>
        <w:t>for 2024-2025 Academic Year</w:t>
      </w:r>
    </w:p>
    <w:p w14:paraId="47EF6A05" w14:textId="4F0C931D" w:rsidR="00532D4D" w:rsidRDefault="00640E8A">
      <w:pPr>
        <w:spacing w:line="240" w:lineRule="auto"/>
        <w:jc w:val="center"/>
        <w:rPr>
          <w:b/>
        </w:rPr>
      </w:pPr>
      <w:r>
        <w:rPr>
          <w:b/>
        </w:rPr>
        <w:t>2022-1-TR01-KA171-HED-000075524</w:t>
      </w:r>
    </w:p>
    <w:p w14:paraId="45061958" w14:textId="77777777" w:rsidR="00532D4D" w:rsidRPr="00A51E53" w:rsidRDefault="00532D4D">
      <w:pPr>
        <w:spacing w:line="240" w:lineRule="auto"/>
        <w:jc w:val="center"/>
        <w:rPr>
          <w:b/>
        </w:rPr>
      </w:pPr>
    </w:p>
    <w:p w14:paraId="0A89E924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INFORMATION SESSIONS:</w:t>
      </w:r>
    </w:p>
    <w:p w14:paraId="67C1D06F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For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details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online Information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sessions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you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visit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link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below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:</w:t>
      </w:r>
    </w:p>
    <w:p w14:paraId="6B89DF16" w14:textId="77777777" w:rsidR="00F51A9F" w:rsidRDefault="00F51A9F" w:rsidP="00F51A9F">
      <w:pPr>
        <w:pStyle w:val="NormalWeb"/>
        <w:spacing w:before="0" w:beforeAutospacing="0" w:after="0" w:afterAutospacing="0"/>
        <w:rPr>
          <w:rFonts w:ascii="Helvetica" w:hAnsi="Helvetica" w:cs="Helvetica"/>
          <w:color w:val="000001"/>
          <w:sz w:val="20"/>
          <w:szCs w:val="20"/>
        </w:rPr>
      </w:pPr>
      <w:r>
        <w:rPr>
          <w:rFonts w:ascii="Helvetica" w:hAnsi="Helvetica" w:cs="Helvetica"/>
          <w:color w:val="000001"/>
          <w:sz w:val="20"/>
          <w:szCs w:val="20"/>
        </w:rPr>
        <w:t>08.05.2024 11:00-12:00 online (</w:t>
      </w:r>
      <w:hyperlink r:id="rId8" w:tgtFrame="_blank" w:history="1">
        <w:r>
          <w:rPr>
            <w:rStyle w:val="Kpr"/>
            <w:rFonts w:ascii="Helvetica" w:hAnsi="Helvetica" w:cs="Helvetica"/>
            <w:color w:val="0066CC"/>
            <w:sz w:val="20"/>
            <w:szCs w:val="20"/>
          </w:rPr>
          <w:t>click here</w:t>
        </w:r>
      </w:hyperlink>
      <w:r>
        <w:rPr>
          <w:rFonts w:ascii="Helvetica" w:hAnsi="Helvetica" w:cs="Helvetica"/>
          <w:color w:val="000001"/>
          <w:sz w:val="20"/>
          <w:szCs w:val="20"/>
        </w:rPr>
        <w:t xml:space="preserve">). English </w:t>
      </w:r>
    </w:p>
    <w:p w14:paraId="23403FE9" w14:textId="5815C921" w:rsidR="00F51A9F" w:rsidRDefault="00F51A9F" w:rsidP="00F51A9F">
      <w:pPr>
        <w:pStyle w:val="NormalWeb"/>
        <w:spacing w:before="0" w:beforeAutospacing="0" w:after="0" w:afterAutospacing="0"/>
        <w:rPr>
          <w:rFonts w:ascii="Helvetica" w:hAnsi="Helvetica" w:cs="Helvetica"/>
          <w:color w:val="000001"/>
          <w:sz w:val="20"/>
          <w:szCs w:val="20"/>
        </w:rPr>
      </w:pPr>
      <w:r>
        <w:rPr>
          <w:rFonts w:ascii="Helvetica" w:hAnsi="Helvetica" w:cs="Helvetica"/>
          <w:color w:val="000001"/>
          <w:sz w:val="20"/>
          <w:szCs w:val="20"/>
        </w:rPr>
        <w:t>09.05.2024 14:00-15:00 online (</w:t>
      </w:r>
      <w:hyperlink r:id="rId9" w:history="1">
        <w:r w:rsidRPr="00AC4CEA">
          <w:rPr>
            <w:rStyle w:val="Kpr"/>
            <w:rFonts w:ascii="Helvetica" w:hAnsi="Helvetica" w:cs="Helvetica"/>
            <w:sz w:val="20"/>
            <w:szCs w:val="20"/>
          </w:rPr>
          <w:t>click here</w:t>
        </w:r>
      </w:hyperlink>
      <w:r>
        <w:rPr>
          <w:rFonts w:ascii="Helvetica" w:hAnsi="Helvetica" w:cs="Helvetica"/>
          <w:color w:val="000001"/>
          <w:sz w:val="20"/>
          <w:szCs w:val="20"/>
        </w:rPr>
        <w:t xml:space="preserve">). </w:t>
      </w:r>
      <w:proofErr w:type="spellStart"/>
      <w:r>
        <w:rPr>
          <w:rFonts w:ascii="Helvetica" w:hAnsi="Helvetica" w:cs="Helvetica"/>
          <w:color w:val="000001"/>
          <w:sz w:val="20"/>
          <w:szCs w:val="20"/>
        </w:rPr>
        <w:t>Türkçe</w:t>
      </w:r>
      <w:proofErr w:type="spellEnd"/>
    </w:p>
    <w:p w14:paraId="0D7D79D8" w14:textId="77777777" w:rsidR="00F51A9F" w:rsidRDefault="00F51A9F" w:rsidP="00F51A9F">
      <w:pPr>
        <w:pStyle w:val="NormalWeb"/>
        <w:spacing w:before="0" w:beforeAutospacing="0" w:after="0" w:afterAutospacing="0"/>
        <w:rPr>
          <w:rFonts w:ascii="Helvetica" w:hAnsi="Helvetica" w:cs="Helvetica"/>
          <w:color w:val="000001"/>
          <w:sz w:val="20"/>
          <w:szCs w:val="20"/>
        </w:rPr>
      </w:pPr>
    </w:p>
    <w:p w14:paraId="2C2E80BE" w14:textId="77777777" w:rsidR="00F51A9F" w:rsidRDefault="00F51A9F" w:rsidP="00F51A9F">
      <w:pPr>
        <w:pStyle w:val="NormalWeb"/>
        <w:spacing w:before="0" w:beforeAutospacing="0" w:after="0" w:afterAutospacing="0"/>
        <w:rPr>
          <w:rFonts w:ascii="Helvetica" w:hAnsi="Helvetica" w:cs="Helvetica"/>
          <w:color w:val="000001"/>
          <w:sz w:val="20"/>
          <w:szCs w:val="20"/>
        </w:rPr>
      </w:pPr>
    </w:p>
    <w:p w14:paraId="0ED50DFF" w14:textId="6B3FA714" w:rsidR="00A51E53" w:rsidRPr="00A51E53" w:rsidRDefault="005D3232" w:rsidP="00A51E53">
      <w:pPr>
        <w:spacing w:line="276" w:lineRule="auto"/>
        <w:jc w:val="both"/>
        <w:rPr>
          <w:b/>
        </w:rPr>
      </w:pPr>
      <w:r w:rsidRPr="00A51E53">
        <w:rPr>
          <w:b/>
        </w:rPr>
        <w:t>APPLICATION CRITERIA</w:t>
      </w:r>
    </w:p>
    <w:p w14:paraId="1E86AF1A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Please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note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this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is NOT for Erasmus+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with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European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Countries</w:t>
      </w:r>
      <w:proofErr w:type="spellEnd"/>
      <w:r w:rsidRPr="00A51E53">
        <w:rPr>
          <w:rFonts w:cs="Times New Roman"/>
          <w:i/>
          <w:iCs/>
          <w:kern w:val="2"/>
          <w:lang w:val="tr-TR" w:eastAsia="en-US"/>
          <w14:ligatures w14:val="standardContextual"/>
        </w:rPr>
        <w:t>.</w:t>
      </w:r>
    </w:p>
    <w:p w14:paraId="70E5FB64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Erasmus+ World KA171 International Credit Mobility – ICM)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only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if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:</w:t>
      </w:r>
    </w:p>
    <w:p w14:paraId="41EA1A99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- CGPA is at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least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3.00 as of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deadline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undergraduate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)</w:t>
      </w:r>
    </w:p>
    <w:p w14:paraId="4D0B2F61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- CGPA is at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least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3.50 as of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deadline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graduate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)</w:t>
      </w:r>
    </w:p>
    <w:p w14:paraId="4125873C" w14:textId="3B76D118" w:rsidR="00A51E53" w:rsidRPr="00A51E53" w:rsidRDefault="00640E8A" w:rsidP="00A51E53">
      <w:pPr>
        <w:rPr>
          <w:rFonts w:cs="Times New Roman"/>
          <w:kern w:val="2"/>
          <w:lang w:val="tr-TR" w:eastAsia="en-US"/>
          <w14:ligatures w14:val="standardContextual"/>
        </w:rPr>
      </w:pPr>
      <w:r>
        <w:rPr>
          <w:rFonts w:cs="Times New Roman"/>
          <w:kern w:val="2"/>
          <w:lang w:val="tr-TR" w:eastAsia="en-US"/>
          <w14:ligatures w14:val="standardContextual"/>
        </w:rPr>
        <w:t xml:space="preserve">- B2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of English (</w:t>
      </w:r>
      <w:r w:rsidRPr="0060794C">
        <w:rPr>
          <w:color w:val="000000"/>
        </w:rPr>
        <w:t>English Proficiency Exam result, TOEFL, YDS, and YÖKDİL are required</w:t>
      </w:r>
      <w:r>
        <w:rPr>
          <w:color w:val="000000"/>
        </w:rPr>
        <w:t>)</w:t>
      </w:r>
    </w:p>
    <w:p w14:paraId="57C1F152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Please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bear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mind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:</w:t>
      </w:r>
    </w:p>
    <w:p w14:paraId="4653BF8A" w14:textId="06209A3E" w:rsid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-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Undergrad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should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 Altınbaş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(AU)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load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a minimum of 30 ECTS for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semester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which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s/he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plans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participate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Erasmus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Programme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</w:p>
    <w:p w14:paraId="2FB21711" w14:textId="48871A6E" w:rsidR="00F51A9F" w:rsidRPr="00A51E53" w:rsidRDefault="00F51A9F" w:rsidP="00A51E53">
      <w:pPr>
        <w:rPr>
          <w:rFonts w:cs="Times New Roman"/>
          <w:kern w:val="2"/>
          <w:lang w:val="tr-TR" w:eastAsia="en-US"/>
          <w14:ligatures w14:val="standardContextual"/>
        </w:rPr>
      </w:pPr>
      <w:r>
        <w:rPr>
          <w:rFonts w:cs="Times New Roman"/>
          <w:kern w:val="2"/>
          <w:lang w:val="tr-TR" w:eastAsia="en-US"/>
          <w14:ligatures w14:val="standardContextual"/>
        </w:rPr>
        <w:t xml:space="preserve">- The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studying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F51A9F">
        <w:rPr>
          <w:rFonts w:cs="Times New Roman"/>
          <w:kern w:val="2"/>
          <w:lang w:val="tr-TR" w:eastAsia="en-US"/>
          <w14:ligatures w14:val="standardContextual"/>
        </w:rPr>
        <w:t>preparatory</w:t>
      </w:r>
      <w:proofErr w:type="spellEnd"/>
      <w:r w:rsidRP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F51A9F">
        <w:rPr>
          <w:rFonts w:cs="Times New Roman"/>
          <w:kern w:val="2"/>
          <w:lang w:val="tr-TR" w:eastAsia="en-US"/>
          <w14:ligatures w14:val="standardContextual"/>
        </w:rPr>
        <w:t>class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can not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15E7E86D" w14:textId="44DFF51A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-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Those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ONLY MS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PhD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completed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load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in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period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also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satisfies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ECTS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AU 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check</w:t>
      </w:r>
      <w:proofErr w:type="spellEnd"/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loads</w:t>
      </w:r>
      <w:proofErr w:type="spellEnd"/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applicants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r w:rsidR="0074297B">
        <w:rPr>
          <w:rFonts w:cs="Times New Roman"/>
          <w:kern w:val="2"/>
          <w:lang w:val="tr-TR" w:eastAsia="en-US"/>
          <w14:ligatures w14:val="standardContextual"/>
        </w:rPr>
        <w:t>The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second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option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Master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Ph.D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may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take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 minimum of 20 ECTS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however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after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completing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coursework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qualification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proposal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processes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doctoral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program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participate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mobility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going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through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register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through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registration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Altınbas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registration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period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specified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academic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calendar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before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participating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mobility.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mobility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they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complete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 minimum of 20 ECTS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credits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work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under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supervisor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the 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host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institution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At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end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semester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instructor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give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 reference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letter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demonstrating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’ minimum 20 ECTS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credits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work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within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scope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research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7CCC6886" w14:textId="2602A261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-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Undergrad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Should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take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 30 ECTS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/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5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 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when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host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not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ECTS) at the host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48D2CF18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registered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at AU as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full-degree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at the time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5A5FB3A5" w14:textId="29DC16E8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lastRenderedPageBreak/>
        <w:t xml:space="preserve">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completed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least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1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semester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the program they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enrolled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cumulative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grade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point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average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(CGPA) in </w:t>
      </w:r>
      <w:proofErr w:type="spellStart"/>
      <w:r w:rsidR="0074297B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 program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4BCD85C8" w14:textId="77777777" w:rsidR="00A51E53" w:rsidRPr="00A51E53" w:rsidRDefault="00A51E53" w:rsidP="00A51E53">
      <w:pPr>
        <w:rPr>
          <w:rFonts w:cs="Times New Roman"/>
          <w:i/>
          <w:kern w:val="2"/>
          <w:lang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  <w:r w:rsidRPr="00A51E53">
        <w:rPr>
          <w:rFonts w:cs="Times New Roman"/>
          <w:i/>
          <w:kern w:val="2"/>
          <w:lang w:eastAsia="en-US"/>
          <w14:ligatures w14:val="standardContextual"/>
        </w:rPr>
        <w:t>Exceptional situations:</w:t>
      </w:r>
    </w:p>
    <w:p w14:paraId="26922DD6" w14:textId="7BDD9A62" w:rsidR="00A51E53" w:rsidRPr="00A51E53" w:rsidRDefault="00A51E53" w:rsidP="00A51E53">
      <w:pPr>
        <w:rPr>
          <w:rFonts w:cs="Times New Roman"/>
          <w:i/>
          <w:kern w:val="2"/>
          <w:lang w:eastAsia="en-US"/>
          <w14:ligatures w14:val="standardContextual"/>
        </w:rPr>
      </w:pPr>
      <w:r w:rsidRPr="00A51E53">
        <w:rPr>
          <w:rFonts w:cs="Times New Roman"/>
          <w:i/>
          <w:kern w:val="2"/>
          <w:lang w:eastAsia="en-US"/>
          <w14:ligatures w14:val="standardContextual"/>
        </w:rPr>
        <w:t xml:space="preserve">*The evaluation will be based on the course number where the partner institution is not using </w:t>
      </w:r>
      <w:r w:rsidR="0074297B">
        <w:rPr>
          <w:rFonts w:cs="Times New Roman"/>
          <w:i/>
          <w:kern w:val="2"/>
          <w:lang w:eastAsia="en-US"/>
          <w14:ligatures w14:val="standardContextual"/>
        </w:rPr>
        <w:t xml:space="preserve">the </w:t>
      </w:r>
      <w:r w:rsidRPr="00A51E53">
        <w:rPr>
          <w:rFonts w:cs="Times New Roman"/>
          <w:i/>
          <w:kern w:val="2"/>
          <w:lang w:eastAsia="en-US"/>
          <w14:ligatures w14:val="standardContextual"/>
        </w:rPr>
        <w:t xml:space="preserve">ECTS system. For such universities, the students must pass at least 3 of their courses out of 5. </w:t>
      </w:r>
    </w:p>
    <w:p w14:paraId="50F53EF6" w14:textId="73C0A277" w:rsidR="00A51E53" w:rsidRPr="00A51E53" w:rsidRDefault="00A51E53" w:rsidP="00A51E53">
      <w:pPr>
        <w:numPr>
          <w:ilvl w:val="0"/>
          <w:numId w:val="2"/>
        </w:numPr>
        <w:rPr>
          <w:rFonts w:cs="Times New Roman"/>
          <w:i/>
          <w:kern w:val="2"/>
          <w:lang w:eastAsia="en-US"/>
          <w14:ligatures w14:val="standardContextual"/>
        </w:rPr>
      </w:pPr>
      <w:r w:rsidRPr="00A51E53">
        <w:rPr>
          <w:rFonts w:cs="Times New Roman"/>
          <w:kern w:val="2"/>
          <w:lang w:eastAsia="en-US"/>
          <w14:ligatures w14:val="standardContextual"/>
        </w:rPr>
        <w:t>The courses which are taken at the partner institution must be recognized</w:t>
      </w:r>
      <w:r w:rsidR="00AC4CEA">
        <w:rPr>
          <w:rFonts w:cs="Times New Roman"/>
          <w:kern w:val="2"/>
          <w:lang w:eastAsia="en-US"/>
          <w14:ligatures w14:val="standardContextual"/>
        </w:rPr>
        <w:t>.</w:t>
      </w:r>
    </w:p>
    <w:p w14:paraId="6B7D437F" w14:textId="5127DF92" w:rsidR="00A51E53" w:rsidRPr="00A51E53" w:rsidRDefault="00A51E53" w:rsidP="00A51E53">
      <w:pPr>
        <w:numPr>
          <w:ilvl w:val="0"/>
          <w:numId w:val="2"/>
        </w:numPr>
        <w:rPr>
          <w:rFonts w:cs="Times New Roman"/>
          <w:i/>
          <w:kern w:val="2"/>
          <w:lang w:eastAsia="en-US"/>
          <w14:ligatures w14:val="standardContextual"/>
        </w:rPr>
      </w:pPr>
      <w:r w:rsidRPr="00A51E53">
        <w:rPr>
          <w:rFonts w:cs="Times New Roman"/>
          <w:kern w:val="2"/>
          <w:lang w:eastAsia="en-US"/>
          <w14:ligatures w14:val="standardContextual"/>
        </w:rPr>
        <w:t xml:space="preserve">The course grades FF / FD / W are not </w:t>
      </w:r>
      <w:r w:rsidR="0074297B">
        <w:rPr>
          <w:rFonts w:cs="Times New Roman"/>
          <w:kern w:val="2"/>
          <w:lang w:eastAsia="en-US"/>
          <w14:ligatures w14:val="standardContextual"/>
        </w:rPr>
        <w:t>hindered</w:t>
      </w:r>
      <w:r w:rsidRPr="00A51E53">
        <w:rPr>
          <w:rFonts w:cs="Times New Roman"/>
          <w:kern w:val="2"/>
          <w:lang w:eastAsia="en-US"/>
          <w14:ligatures w14:val="standardContextual"/>
        </w:rPr>
        <w:t xml:space="preserve"> for applications. However, the students with these grades must consider regulations and departmental policies, which may affect their participation in the program.  Furthermore, these FF / FD / W grades may influence the host university’s decision to accept these students.</w:t>
      </w:r>
    </w:p>
    <w:p w14:paraId="3F936110" w14:textId="77777777" w:rsidR="00A51E53" w:rsidRPr="00A51E53" w:rsidRDefault="00A51E53" w:rsidP="00A51E53">
      <w:pPr>
        <w:numPr>
          <w:ilvl w:val="0"/>
          <w:numId w:val="2"/>
        </w:numPr>
        <w:rPr>
          <w:rFonts w:cs="Times New Roman"/>
          <w:kern w:val="2"/>
          <w:lang w:eastAsia="en-US"/>
          <w14:ligatures w14:val="standardContextual"/>
        </w:rPr>
      </w:pPr>
      <w:r w:rsidRPr="00A51E53">
        <w:rPr>
          <w:rFonts w:cs="Times New Roman"/>
          <w:kern w:val="2"/>
          <w:lang w:eastAsia="en-US"/>
          <w14:ligatures w14:val="standardContextual"/>
        </w:rPr>
        <w:t xml:space="preserve">It is obligatory to have a valid English score to complete the application. Detailed information about English language scores can be seen in the application call. </w:t>
      </w:r>
    </w:p>
    <w:p w14:paraId="247B984F" w14:textId="13FF7B75" w:rsidR="00A51E53" w:rsidRPr="00A51E53" w:rsidRDefault="00A51E53" w:rsidP="00A51E53">
      <w:pPr>
        <w:rPr>
          <w:rFonts w:cs="Times New Roman"/>
          <w:kern w:val="2"/>
          <w:lang w:eastAsia="en-US"/>
          <w14:ligatures w14:val="standardContextual"/>
        </w:rPr>
      </w:pPr>
    </w:p>
    <w:p w14:paraId="460082F6" w14:textId="77777777" w:rsidR="00DB1B79" w:rsidRPr="00A51E53" w:rsidRDefault="00DB1B79" w:rsidP="00A51E53">
      <w:pPr>
        <w:spacing w:line="276" w:lineRule="auto"/>
        <w:jc w:val="both"/>
        <w:rPr>
          <w:b/>
        </w:rPr>
      </w:pPr>
    </w:p>
    <w:p w14:paraId="108500BC" w14:textId="278C4D11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Application </w:t>
      </w:r>
      <w:proofErr w:type="spellStart"/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Period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: </w:t>
      </w:r>
      <w:r w:rsidR="00640E8A" w:rsidRPr="00640E8A">
        <w:rPr>
          <w:rFonts w:cs="Times New Roman"/>
          <w:kern w:val="2"/>
          <w:lang w:val="tr-TR" w:eastAsia="en-US"/>
          <w14:ligatures w14:val="standardContextual"/>
        </w:rPr>
        <w:t xml:space="preserve">13.05.2024 – 03.06.2024 </w:t>
      </w:r>
    </w:p>
    <w:p w14:paraId="5979D74E" w14:textId="474246DD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Announcement</w:t>
      </w:r>
      <w:proofErr w:type="spellEnd"/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of Application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  <w:proofErr w:type="spellStart"/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Results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: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announced</w:t>
      </w:r>
      <w:proofErr w:type="spellEnd"/>
      <w:r w:rsidR="002337EB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="002337EB" w:rsidRPr="00A51E53">
        <w:rPr>
          <w:rFonts w:cs="Times New Roman"/>
          <w:kern w:val="2"/>
          <w:lang w:val="tr-TR" w:eastAsia="en-US"/>
          <w14:ligatures w14:val="standardContextual"/>
        </w:rPr>
        <w:t>June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2024</w:t>
      </w:r>
    </w:p>
    <w:p w14:paraId="3245AF37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365FAFB1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APPLICATION METHODS:</w:t>
      </w:r>
    </w:p>
    <w:p w14:paraId="0FE3E38F" w14:textId="6C4A5079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selections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placements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carried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out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online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through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E-</w:t>
      </w:r>
      <w:r w:rsidR="00F51A9F" w:rsidRPr="00A51E53">
        <w:rPr>
          <w:rFonts w:cs="Times New Roman"/>
          <w:kern w:val="2"/>
          <w:lang w:val="tr-TR" w:eastAsia="en-US"/>
          <w14:ligatures w14:val="standardContextual"/>
        </w:rPr>
        <w:t xml:space="preserve">Devlet </w:t>
      </w:r>
      <w:proofErr w:type="spellStart"/>
      <w:r w:rsidR="00F51A9F" w:rsidRPr="00A51E53">
        <w:rPr>
          <w:rFonts w:cs="Times New Roman"/>
          <w:kern w:val="2"/>
          <w:lang w:val="tr-TR" w:eastAsia="en-US"/>
          <w14:ligatures w14:val="standardContextual"/>
        </w:rPr>
        <w:t>Gate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platform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initiated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Turkish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National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Agency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: </w:t>
      </w:r>
      <w:r w:rsidR="002337EB" w:rsidRPr="002337EB">
        <w:rPr>
          <w:rFonts w:cs="Times New Roman"/>
          <w:kern w:val="2"/>
          <w:lang w:val="tr-TR" w:eastAsia="en-US"/>
          <w14:ligatures w14:val="standardContextual"/>
        </w:rPr>
        <w:t>https://turnaportal.ua.gov.tr/giris</w:t>
      </w:r>
      <w:r w:rsidR="002337EB"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</w:p>
    <w:p w14:paraId="349D98A7" w14:textId="0097DE1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submit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online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between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2337EB" w:rsidRPr="00640E8A">
        <w:rPr>
          <w:rFonts w:cs="Times New Roman"/>
          <w:kern w:val="2"/>
          <w:lang w:val="tr-TR" w:eastAsia="en-US"/>
          <w14:ligatures w14:val="standardContextual"/>
        </w:rPr>
        <w:t xml:space="preserve">13.05.2024 </w:t>
      </w:r>
      <w:r w:rsidR="002337EB">
        <w:rPr>
          <w:rFonts w:cs="Times New Roman"/>
          <w:kern w:val="2"/>
          <w:lang w:val="tr-TR" w:eastAsia="en-US"/>
          <w14:ligatures w14:val="standardContextual"/>
        </w:rPr>
        <w:t xml:space="preserve">and </w:t>
      </w:r>
      <w:r w:rsidR="00F51A9F" w:rsidRPr="00640E8A">
        <w:rPr>
          <w:rFonts w:cs="Times New Roman"/>
          <w:kern w:val="2"/>
          <w:lang w:val="tr-TR" w:eastAsia="en-US"/>
          <w14:ligatures w14:val="standardContextual"/>
        </w:rPr>
        <w:t xml:space="preserve">03.06.2024 </w:t>
      </w:r>
      <w:proofErr w:type="spellStart"/>
      <w:r w:rsidR="00F51A9F"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E-Devlet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platform.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platform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closed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on </w:t>
      </w:r>
      <w:r w:rsidRPr="002337EB">
        <w:rPr>
          <w:rFonts w:cs="Times New Roman"/>
          <w:kern w:val="2"/>
          <w:lang w:val="tr-TR" w:eastAsia="en-US"/>
          <w14:ligatures w14:val="standardContextual"/>
        </w:rPr>
        <w:t xml:space="preserve">3 </w:t>
      </w:r>
      <w:proofErr w:type="spellStart"/>
      <w:r w:rsidR="002337EB" w:rsidRPr="002337EB">
        <w:rPr>
          <w:rFonts w:cs="Times New Roman"/>
          <w:kern w:val="2"/>
          <w:lang w:val="tr-TR" w:eastAsia="en-US"/>
          <w14:ligatures w14:val="standardContextual"/>
        </w:rPr>
        <w:t>June</w:t>
      </w:r>
      <w:proofErr w:type="spellEnd"/>
      <w:r w:rsidR="002337EB" w:rsidRPr="002337EB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Pr="002337EB">
        <w:rPr>
          <w:rFonts w:cs="Times New Roman"/>
          <w:kern w:val="2"/>
          <w:lang w:val="tr-TR" w:eastAsia="en-US"/>
          <w14:ligatures w14:val="standardContextual"/>
        </w:rPr>
        <w:t>202</w:t>
      </w:r>
      <w:r w:rsidR="002337EB" w:rsidRPr="002337EB">
        <w:rPr>
          <w:rFonts w:cs="Times New Roman"/>
          <w:kern w:val="2"/>
          <w:lang w:val="tr-TR" w:eastAsia="en-US"/>
          <w14:ligatures w14:val="standardContextual"/>
        </w:rPr>
        <w:t>4</w:t>
      </w:r>
      <w:r w:rsidRPr="002337EB">
        <w:rPr>
          <w:rFonts w:cs="Times New Roman"/>
          <w:kern w:val="2"/>
          <w:lang w:val="tr-TR" w:eastAsia="en-US"/>
          <w14:ligatures w14:val="standardContextual"/>
        </w:rPr>
        <w:t xml:space="preserve"> at 23:59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you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not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able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upload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any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documents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make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any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changes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your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after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time.</w:t>
      </w:r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proofErr w:type="gramStart"/>
      <w:r w:rsidR="00F51A9F">
        <w:rPr>
          <w:rFonts w:cs="Times New Roman"/>
          <w:kern w:val="2"/>
          <w:lang w:val="tr-TR" w:eastAsia="en-US"/>
          <w14:ligatures w14:val="standardContextual"/>
        </w:rPr>
        <w:t>please</w:t>
      </w:r>
      <w:proofErr w:type="spellEnd"/>
      <w:proofErr w:type="gram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find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guide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from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hyperlink r:id="rId10" w:history="1">
        <w:r w:rsidR="00F51A9F" w:rsidRPr="00F51A9F">
          <w:rPr>
            <w:rStyle w:val="Kpr"/>
            <w:rFonts w:cs="Times New Roman"/>
            <w:kern w:val="2"/>
            <w:lang w:val="tr-TR" w:eastAsia="en-US"/>
            <w14:ligatures w14:val="standardContextual"/>
          </w:rPr>
          <w:t>link</w:t>
        </w:r>
      </w:hyperlink>
      <w:r w:rsidR="00F51A9F">
        <w:rPr>
          <w:rFonts w:cs="Times New Roman"/>
          <w:kern w:val="2"/>
          <w:lang w:val="tr-TR" w:eastAsia="en-US"/>
          <w14:ligatures w14:val="standardContextual"/>
        </w:rPr>
        <w:t>.)</w:t>
      </w:r>
    </w:p>
    <w:p w14:paraId="1CF5FEE2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Additional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documents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e.g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health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report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disability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)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should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not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physically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transmitted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but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uploaded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relevant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section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Application Portal.</w:t>
      </w:r>
    </w:p>
    <w:p w14:paraId="243FF121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44124E56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ENGLISH PROFICIENCY EXAM:</w:t>
      </w:r>
    </w:p>
    <w:p w14:paraId="63856AA4" w14:textId="0AFF5AD6" w:rsidR="00F3108B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Alumni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Relations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Internationalization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office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no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longer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holding the English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Proficiency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Exam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However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interested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applying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Erasmus+ World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programs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able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bring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English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scores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taken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within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5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years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before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period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scores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one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AU-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recognized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exams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Please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check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which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exams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recognized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  <w:proofErr w:type="spellStart"/>
      <w:r w:rsidR="00F3108B">
        <w:rPr>
          <w:rFonts w:cs="Times New Roman"/>
          <w:kern w:val="2"/>
          <w:lang w:val="tr-TR" w:eastAsia="en-US"/>
          <w14:ligatures w14:val="standardContextual"/>
        </w:rPr>
        <w:t>below</w:t>
      </w:r>
      <w:proofErr w:type="spellEnd"/>
      <w:r w:rsidR="00F3108B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prepare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your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valid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score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</w:t>
      </w:r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You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submit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your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English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Proficiency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Exam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Preparatory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F51A9F">
        <w:rPr>
          <w:rFonts w:cs="Times New Roman"/>
          <w:kern w:val="2"/>
          <w:lang w:val="tr-TR" w:eastAsia="en-US"/>
          <w14:ligatures w14:val="standardContextual"/>
        </w:rPr>
        <w:t>Exam</w:t>
      </w:r>
      <w:proofErr w:type="spellEnd"/>
      <w:r w:rsidR="00F51A9F">
        <w:rPr>
          <w:rFonts w:cs="Times New Roman"/>
          <w:kern w:val="2"/>
          <w:lang w:val="tr-TR" w:eastAsia="en-US"/>
          <w14:ligatures w14:val="standardContextual"/>
        </w:rPr>
        <w:t xml:space="preserve">, YDS, E-YDS, YOKDIL, E- YOKDIL, TOEFL. </w:t>
      </w:r>
    </w:p>
    <w:p w14:paraId="41723030" w14:textId="54AF6C11" w:rsidR="00F3108B" w:rsidRPr="00A51E53" w:rsidRDefault="00F3108B" w:rsidP="00A51E53">
      <w:pPr>
        <w:rPr>
          <w:rFonts w:cs="Times New Roman"/>
          <w:kern w:val="2"/>
          <w:lang w:val="tr-TR" w:eastAsia="en-US"/>
          <w14:ligatures w14:val="standardContextual"/>
        </w:rPr>
      </w:pPr>
      <w:r>
        <w:rPr>
          <w:noProof/>
        </w:rPr>
        <w:lastRenderedPageBreak/>
        <w:drawing>
          <wp:inline distT="0" distB="0" distL="0" distR="0" wp14:anchorId="68D19EB7" wp14:editId="6BBF495E">
            <wp:extent cx="5760720" cy="2861945"/>
            <wp:effectExtent l="0" t="0" r="0" b="0"/>
            <wp:docPr id="2088619609" name="Resim 1" descr="metin, sayı, numara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19609" name="Resim 1" descr="metin, sayı, numara, ekran görüntüsü, yazı tipi içeren bir resim&#10;&#10;Açıklama otomatik olarak oluşturuldu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E6A2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58EEBB5A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77BF4A5E" w14:textId="30B43B2E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PARTNER UNIVERSITIES:</w:t>
      </w:r>
    </w:p>
    <w:p w14:paraId="34FDCFC8" w14:textId="77777777" w:rsidR="00AC4CEA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At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most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2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chosen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list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partner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Fact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sheet</w:t>
      </w:r>
      <w:proofErr w:type="spellEnd"/>
      <w:r w:rsidR="0074297B">
        <w:rPr>
          <w:rFonts w:cs="Times New Roman"/>
          <w:kern w:val="2"/>
          <w:lang w:val="tr-TR" w:eastAsia="en-US"/>
          <w14:ligatures w14:val="standardContextual"/>
        </w:rPr>
        <w:t>,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country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quotas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  <w:hyperlink r:id="rId12" w:history="1">
        <w:r w:rsidRPr="007779D3">
          <w:rPr>
            <w:rFonts w:cs="Times New Roman"/>
            <w:b/>
            <w:bCs/>
            <w:color w:val="0563C1"/>
            <w:kern w:val="2"/>
            <w:u w:val="single"/>
            <w:lang w:val="tr-TR" w:eastAsia="en-US"/>
            <w14:ligatures w14:val="standardContextual"/>
          </w:rPr>
          <w:t>HERE</w:t>
        </w:r>
      </w:hyperlink>
      <w:r w:rsidRPr="007779D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0094DF54" w14:textId="30C1E9E6" w:rsidR="00A51E53" w:rsidRPr="00AC4CEA" w:rsidRDefault="00AC4CEA" w:rsidP="00AC4CEA">
      <w:pPr>
        <w:rPr>
          <w:rFonts w:cs="Times New Roman"/>
          <w:kern w:val="2"/>
          <w:lang w:val="tr-TR" w:eastAsia="en-US"/>
          <w14:ligatures w14:val="standardContextual"/>
        </w:rPr>
      </w:pPr>
      <w:r>
        <w:rPr>
          <w:rFonts w:cs="Times New Roman"/>
          <w:kern w:val="2"/>
          <w:lang w:val="tr-TR" w:eastAsia="en-US"/>
          <w14:ligatures w14:val="standardContextual"/>
        </w:rPr>
        <w:t xml:space="preserve">* 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Please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aware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due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quota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agreements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there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only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one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quota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each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, and the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student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get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highest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point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of Erasmus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score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>
        <w:rPr>
          <w:rFonts w:cs="Times New Roman"/>
          <w:kern w:val="2"/>
          <w:lang w:val="tr-TR" w:eastAsia="en-US"/>
          <w14:ligatures w14:val="standardContextual"/>
        </w:rPr>
        <w:t>placed</w:t>
      </w:r>
      <w:proofErr w:type="spellEnd"/>
      <w:r>
        <w:rPr>
          <w:rFonts w:cs="Times New Roman"/>
          <w:kern w:val="2"/>
          <w:lang w:val="tr-TR" w:eastAsia="en-US"/>
          <w14:ligatures w14:val="standardContextual"/>
        </w:rPr>
        <w:t>.</w:t>
      </w:r>
      <w:r w:rsidR="00A51E53" w:rsidRPr="00AC4CEA">
        <w:rPr>
          <w:rFonts w:cs="Times New Roman"/>
          <w:kern w:val="2"/>
          <w:lang w:val="tr-TR" w:eastAsia="en-US"/>
          <w14:ligatures w14:val="standardContextual"/>
        </w:rPr>
        <w:t xml:space="preserve"> </w:t>
      </w:r>
    </w:p>
    <w:p w14:paraId="6A4851A2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While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checking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list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please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aware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some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countries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available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only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PhD-level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students.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Erasmus+ ICM Program and it is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announced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European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Commission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current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project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those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countries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it is not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possible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send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Undergraduate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Master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with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Erasmus+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grants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However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not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mean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open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PhD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PhD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programs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sure;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check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websites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fact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sheets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be sure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suitable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program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list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convenient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academic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program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 </w:t>
      </w:r>
    </w:p>
    <w:p w14:paraId="7370B5ED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460036FD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114A6559" w14:textId="4F263CDA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utmost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importance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consult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coordinator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about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choices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list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74297B">
        <w:rPr>
          <w:rFonts w:cs="Times New Roman"/>
          <w:kern w:val="2"/>
          <w:lang w:val="tr-TR" w:eastAsia="en-US"/>
          <w14:ligatures w14:val="standardContextual"/>
        </w:rPr>
        <w:t>of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exchange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programs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coordinators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r w:rsidRPr="001F6CBD">
        <w:rPr>
          <w:rFonts w:cs="Times New Roman"/>
          <w:kern w:val="2"/>
          <w:lang w:val="tr-TR" w:eastAsia="en-US"/>
          <w14:ligatures w14:val="standardContextual"/>
        </w:rPr>
        <w:t xml:space="preserve">be </w:t>
      </w:r>
      <w:proofErr w:type="spellStart"/>
      <w:r w:rsidRPr="001F6CBD">
        <w:rPr>
          <w:rFonts w:cs="Times New Roman"/>
          <w:kern w:val="2"/>
          <w:lang w:val="tr-TR" w:eastAsia="en-US"/>
          <w14:ligatures w14:val="standardContextual"/>
        </w:rPr>
        <w:t>found</w:t>
      </w:r>
      <w:proofErr w:type="spellEnd"/>
      <w:r w:rsidRPr="001F6CBD">
        <w:rPr>
          <w:rFonts w:cs="Times New Roman"/>
          <w:kern w:val="2"/>
          <w:lang w:val="tr-TR" w:eastAsia="en-US"/>
          <w14:ligatures w14:val="standardContextual"/>
        </w:rPr>
        <w:t xml:space="preserve"> at</w:t>
      </w:r>
      <w:r w:rsidR="001F6CBD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74297B">
        <w:rPr>
          <w:rFonts w:cs="Times New Roman"/>
          <w:kern w:val="2"/>
          <w:lang w:val="tr-TR" w:eastAsia="en-US"/>
          <w14:ligatures w14:val="standardContextual"/>
        </w:rPr>
        <w:t xml:space="preserve">the </w:t>
      </w:r>
      <w:hyperlink r:id="rId13" w:history="1">
        <w:r w:rsidRPr="001F6CBD">
          <w:rPr>
            <w:rStyle w:val="Kpr"/>
            <w:rFonts w:cs="Times New Roman"/>
            <w:kern w:val="2"/>
            <w:lang w:val="tr-TR" w:eastAsia="en-US"/>
            <w14:ligatures w14:val="standardContextual"/>
          </w:rPr>
          <w:t>link</w:t>
        </w:r>
      </w:hyperlink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1F6CBD">
        <w:rPr>
          <w:rFonts w:cs="Times New Roman"/>
          <w:kern w:val="2"/>
          <w:lang w:val="tr-TR" w:eastAsia="en-US"/>
          <w14:ligatures w14:val="standardContextual"/>
        </w:rPr>
        <w:t xml:space="preserve">‘’ </w:t>
      </w:r>
      <w:proofErr w:type="spellStart"/>
      <w:r w:rsidR="001F6CBD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="001F6CBD"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 w:rsidR="001F6CBD">
        <w:rPr>
          <w:rFonts w:cs="Times New Roman"/>
          <w:kern w:val="2"/>
          <w:lang w:val="tr-TR" w:eastAsia="en-US"/>
          <w14:ligatures w14:val="standardContextual"/>
        </w:rPr>
        <w:t>my</w:t>
      </w:r>
      <w:proofErr w:type="spellEnd"/>
      <w:r w:rsidR="001F6CBD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="001F6CBD">
        <w:rPr>
          <w:rFonts w:cs="Times New Roman"/>
          <w:kern w:val="2"/>
          <w:lang w:val="tr-TR" w:eastAsia="en-US"/>
          <w14:ligatures w14:val="standardContextual"/>
        </w:rPr>
        <w:t>coordinator</w:t>
      </w:r>
      <w:proofErr w:type="spellEnd"/>
      <w:r w:rsidR="001F6CBD">
        <w:rPr>
          <w:rFonts w:cs="Times New Roman"/>
          <w:kern w:val="2"/>
          <w:lang w:val="tr-TR" w:eastAsia="en-US"/>
          <w14:ligatures w14:val="standardContextual"/>
        </w:rPr>
        <w:t xml:space="preserve">’’ </w:t>
      </w:r>
      <w:proofErr w:type="spellStart"/>
      <w:r w:rsidR="001F6CBD">
        <w:rPr>
          <w:rFonts w:cs="Times New Roman"/>
          <w:kern w:val="2"/>
          <w:lang w:val="tr-TR" w:eastAsia="en-US"/>
          <w14:ligatures w14:val="standardContextual"/>
        </w:rPr>
        <w:t>section</w:t>
      </w:r>
      <w:proofErr w:type="spellEnd"/>
      <w:r w:rsidR="001F6CBD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6E1ECE36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2ED9E761" w14:textId="57261962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be sure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they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offers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education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74297B">
        <w:rPr>
          <w:rFonts w:cs="Times New Roman"/>
          <w:kern w:val="2"/>
          <w:lang w:val="tr-TR" w:eastAsia="en-US"/>
          <w14:ligatures w14:val="standardContextual"/>
        </w:rPr>
        <w:t>at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in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relevant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availability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list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not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imply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proofErr w:type="gramStart"/>
      <w:r w:rsidRPr="00A51E53">
        <w:rPr>
          <w:rFonts w:cs="Times New Roman"/>
          <w:kern w:val="2"/>
          <w:lang w:val="tr-TR" w:eastAsia="en-US"/>
          <w14:ligatures w14:val="standardContextual"/>
        </w:rPr>
        <w:t>offers</w:t>
      </w:r>
      <w:proofErr w:type="spellEnd"/>
      <w:proofErr w:type="gram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education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on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education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not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guarantee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accepts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you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check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conditions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partner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i.e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medium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instruction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academic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calendar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accommodation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opportunities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etc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.)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before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submitting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 </w:t>
      </w:r>
    </w:p>
    <w:p w14:paraId="788E2E28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</w:p>
    <w:p w14:paraId="018D9E09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an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internationally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recognized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proficiency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exam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grade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not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AU.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However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partner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may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proficiency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exam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grade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document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education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(TOEFL, IELTS,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etc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.).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can't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if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they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cannot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meet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Since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proficiency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differ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among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it is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necessary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check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university’s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website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before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make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sure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requirements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be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fulfilled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/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documented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before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deadline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30F46928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2B72EB9D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Agreements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within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framework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Erasmus+ ICM Program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generally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established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as “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mutual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”.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means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no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one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given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priority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over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others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unless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stated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otherwise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the “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Restrictions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”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section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agreement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list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in the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announcement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However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before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applying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those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please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make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sure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that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there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is a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at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least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courses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) at the partner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university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corresponding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your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department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at AU. </w:t>
      </w:r>
    </w:p>
    <w:p w14:paraId="72C5C155" w14:textId="77777777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kern w:val="2"/>
          <w:lang w:val="tr-TR" w:eastAsia="en-US"/>
          <w14:ligatures w14:val="standardContextual"/>
        </w:rPr>
        <w:t> </w:t>
      </w:r>
      <w:bookmarkStart w:id="0" w:name="_Hlk165538064"/>
    </w:p>
    <w:p w14:paraId="2796D387" w14:textId="2CBADFA2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SELECTION CRITERIA: </w:t>
      </w:r>
    </w:p>
    <w:p w14:paraId="37E286DE" w14:textId="6505DB4C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 50% of CGPA and 50% of the English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language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test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score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taken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into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account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electing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prospective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Exchange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085CB138" w14:textId="77777777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>▪   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with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disabilities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 (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approved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medical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report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get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additional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Medical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reports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concerning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disability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submitted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online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system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period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67075828" w14:textId="77777777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▪   15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added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overall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score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 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children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martyrs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veterans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proving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documents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submitted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online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system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period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1FCDD3D2" w14:textId="77777777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▪   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added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overall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score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been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under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protection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2828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Social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Services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Law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.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proving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documents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submitted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online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system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during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period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3643D83C" w14:textId="7C95070F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>▪   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possible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benefit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Erasmus+ Programs (Erasmus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European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Erasmus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Traineeship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Erasmus+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Non-European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ICM)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more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than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once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can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participate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programs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74297B" w:rsidRPr="00AD01B3">
        <w:rPr>
          <w:rFonts w:cs="Times New Roman"/>
          <w:kern w:val="2"/>
          <w:lang w:val="tr-TR" w:eastAsia="en-US"/>
          <w14:ligatures w14:val="standardContextual"/>
        </w:rPr>
        <w:t xml:space="preserve">for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up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12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months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each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(UG, MS,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PhD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).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However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="0074297B" w:rsidRPr="00AD01B3">
        <w:rPr>
          <w:rFonts w:cs="Times New Roman"/>
          <w:kern w:val="2"/>
          <w:lang w:val="tr-TR" w:eastAsia="en-US"/>
          <w14:ligatures w14:val="standardContextual"/>
        </w:rPr>
        <w:t>deducted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overall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grade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 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have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benefited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Erasmus+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before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within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same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study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leve</w:t>
      </w:r>
      <w:r w:rsidRPr="00AD01B3">
        <w:rPr>
          <w:rFonts w:cs="Times New Roman"/>
          <w:kern w:val="2"/>
          <w:lang w:val="tr-TR" w:eastAsia="en-US"/>
          <w14:ligatures w14:val="standardContextual"/>
        </w:rPr>
        <w:t>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Previous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participation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program in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different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levels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does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not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cause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any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deduction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overall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grade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63CB516F" w14:textId="445F4D2B" w:rsidR="00A51E53" w:rsidRPr="00AD01B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▪   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="0074297B" w:rsidRPr="00AD01B3">
        <w:rPr>
          <w:rFonts w:cs="Times New Roman"/>
          <w:kern w:val="2"/>
          <w:lang w:val="tr-TR" w:eastAsia="en-US"/>
          <w14:ligatures w14:val="standardContextual"/>
        </w:rPr>
        <w:t>deducted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overall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grade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 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withdrawn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the program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after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announced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deadline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 </w:t>
      </w: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for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previous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Erasmus+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Non-European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ICM Program Applications.</w:t>
      </w:r>
    </w:p>
    <w:p w14:paraId="44229515" w14:textId="77777777" w:rsidR="002E74F1" w:rsidRPr="00AD01B3" w:rsidRDefault="00A51E53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> </w:t>
      </w:r>
    </w:p>
    <w:p w14:paraId="7DBE28DB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qualify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extra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must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submit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relevant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documents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at the time of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application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.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Benchmark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scores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applied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 the Erasmus </w:t>
      </w:r>
      <w:proofErr w:type="spellStart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score</w:t>
      </w:r>
      <w:proofErr w:type="spellEnd"/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>.</w:t>
      </w:r>
    </w:p>
    <w:p w14:paraId="03325EC9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(-)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wish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participate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program in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countries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citizenship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</w:p>
    <w:p w14:paraId="3E6AF6FF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lastRenderedPageBreak/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(-)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Placed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do not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attend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mandatory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orientation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sessions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without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valid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excuse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5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deducted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if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they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 the Erasmus+ ICM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again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28927466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(-)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participate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ICM program at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same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level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deducted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if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they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again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15883CC8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(-)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withdraw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program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after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submitting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commitment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form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have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deducted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if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they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 the Erasmus+ ICM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again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26908253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(+)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with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disabilities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given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extra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*</w:t>
      </w:r>
    </w:p>
    <w:p w14:paraId="10E47070" w14:textId="7DCEDC0B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(+)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children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Veterans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/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Martyrs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given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 w:rsidR="00001D01">
        <w:rPr>
          <w:rFonts w:cs="Times New Roman"/>
          <w:kern w:val="2"/>
          <w:lang w:val="tr-TR" w:eastAsia="en-US"/>
          <w14:ligatures w14:val="standardContextual"/>
        </w:rPr>
        <w:t xml:space="preserve">an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extra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15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**</w:t>
      </w:r>
    </w:p>
    <w:p w14:paraId="26BA3AB4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(+)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whose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first-degree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relatives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themselves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receive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disaster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victim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financial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support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from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AFAD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given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extra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516ABFD7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• </w:t>
      </w:r>
      <w:r w:rsidRPr="00AD01B3">
        <w:rPr>
          <w:rFonts w:cs="Times New Roman"/>
          <w:b/>
          <w:bCs/>
          <w:kern w:val="2"/>
          <w:lang w:val="tr-TR" w:eastAsia="en-US"/>
          <w14:ligatures w14:val="standardContextual"/>
        </w:rPr>
        <w:t xml:space="preserve">(+)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Extra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points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given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under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protection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care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shelter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Act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No. 2828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Social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Services and 5395 Child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Protection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Law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</w:p>
    <w:p w14:paraId="074E7AA5" w14:textId="77777777" w:rsidR="002E74F1" w:rsidRPr="00AD01B3" w:rsidRDefault="002E74F1" w:rsidP="002E74F1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*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student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must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submit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Disability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Health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Board Report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included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"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Regulation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Disability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Assessment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Adults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"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published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Official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Gazette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dated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20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February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2019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numbered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30692.</w:t>
      </w:r>
    </w:p>
    <w:p w14:paraId="49077328" w14:textId="1CF50A69" w:rsidR="00532D4D" w:rsidRPr="00DB1B79" w:rsidRDefault="002E74F1" w:rsidP="00DB1B79">
      <w:pPr>
        <w:rPr>
          <w:rFonts w:cs="Times New Roman"/>
          <w:kern w:val="2"/>
          <w:lang w:val="tr-TR" w:eastAsia="en-US"/>
          <w14:ligatures w14:val="standardContextual"/>
        </w:rPr>
      </w:pPr>
      <w:r w:rsidRPr="00AD01B3">
        <w:rPr>
          <w:rFonts w:cs="Times New Roman"/>
          <w:kern w:val="2"/>
          <w:lang w:val="tr-TR" w:eastAsia="en-US"/>
          <w14:ligatures w14:val="standardContextual"/>
        </w:rPr>
        <w:t>**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addition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spouses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children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war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veterans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war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martyrs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applying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 Erasmus+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mobility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priority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given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spouses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children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public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officials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, “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while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performing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duties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domestically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abroad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even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after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termination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status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become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victims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terrorist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acts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get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injured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disabled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killed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” as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outlined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Article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21 of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Law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on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Fight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Against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Terrorism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numbered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3713,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dated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12/4/1991.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Furthermore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in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line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with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Article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7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Decree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numbered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667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dated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23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July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2016,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priority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is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granted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civilians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became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disabled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and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spouses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children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these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civilians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, as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well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as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spouses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children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of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those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lost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their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lives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due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to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the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coup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attempt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and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terrorist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acts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on 15/07/2016,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when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applying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for Erasmus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traineeship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D01B3">
        <w:rPr>
          <w:rFonts w:cs="Times New Roman"/>
          <w:kern w:val="2"/>
          <w:lang w:val="tr-TR" w:eastAsia="en-US"/>
          <w14:ligatures w14:val="standardContextual"/>
        </w:rPr>
        <w:t>mobility</w:t>
      </w:r>
      <w:proofErr w:type="spellEnd"/>
      <w:r w:rsidRPr="00AD01B3">
        <w:rPr>
          <w:rFonts w:cs="Times New Roman"/>
          <w:kern w:val="2"/>
          <w:lang w:val="tr-TR" w:eastAsia="en-US"/>
          <w14:ligatures w14:val="standardContextual"/>
        </w:rPr>
        <w:t>.</w:t>
      </w:r>
      <w:bookmarkEnd w:id="0"/>
    </w:p>
    <w:p w14:paraId="3471A13F" w14:textId="58A645C1" w:rsidR="00A51E53" w:rsidRPr="00A51E53" w:rsidRDefault="00A51E53" w:rsidP="00A51E53">
      <w:pPr>
        <w:rPr>
          <w:rFonts w:cs="Times New Roman"/>
          <w:kern w:val="2"/>
          <w:lang w:val="tr-TR" w:eastAsia="en-US"/>
          <w14:ligatures w14:val="standardContextual"/>
        </w:rPr>
      </w:pPr>
    </w:p>
    <w:p w14:paraId="01579167" w14:textId="6F1C3681" w:rsidR="00532D4D" w:rsidRPr="00F42588" w:rsidRDefault="00A51E53" w:rsidP="00F42588">
      <w:pPr>
        <w:rPr>
          <w:rFonts w:cs="Times New Roman"/>
          <w:kern w:val="2"/>
          <w:lang w:val="tr-TR" w:eastAsia="en-US"/>
          <w14:ligatures w14:val="standardContextual"/>
        </w:rPr>
      </w:pPr>
      <w:r w:rsidRPr="00A51E53">
        <w:rPr>
          <w:rFonts w:cs="Times New Roman"/>
          <w:b/>
          <w:bCs/>
          <w:kern w:val="2"/>
          <w:lang w:val="tr-TR" w:eastAsia="en-US"/>
          <w14:ligatures w14:val="standardContextual"/>
        </w:rPr>
        <w:t>GRANT &amp; EXPENSES:</w:t>
      </w:r>
    </w:p>
    <w:p w14:paraId="623C67DC" w14:textId="489775B2" w:rsidR="00482242" w:rsidRDefault="005D3232" w:rsidP="00482242">
      <w:pPr>
        <w:numPr>
          <w:ilvl w:val="0"/>
          <w:numId w:val="1"/>
        </w:numPr>
        <w:spacing w:after="0" w:line="276" w:lineRule="auto"/>
        <w:ind w:left="426"/>
        <w:jc w:val="both"/>
      </w:pPr>
      <w:r>
        <w:t xml:space="preserve">Selected students are exempt from paying a fee to the host universities. However, Exchange students who are responsible </w:t>
      </w:r>
      <w:r w:rsidR="0074297B">
        <w:t>for paying</w:t>
      </w:r>
      <w:r>
        <w:t xml:space="preserve"> a tuition fee will continue to pay school </w:t>
      </w:r>
      <w:r w:rsidR="0074297B">
        <w:t>fees</w:t>
      </w:r>
      <w:r>
        <w:t xml:space="preserve"> to</w:t>
      </w:r>
      <w:r w:rsidR="00482242">
        <w:t xml:space="preserve"> AU</w:t>
      </w:r>
      <w:r>
        <w:t xml:space="preserve">; they are exempt from paying to partner </w:t>
      </w:r>
      <w:r w:rsidR="00482242">
        <w:t>universities.</w:t>
      </w:r>
    </w:p>
    <w:p w14:paraId="70A61313" w14:textId="79C4DB9C" w:rsidR="00482242" w:rsidRPr="00A51E53" w:rsidRDefault="00482242" w:rsidP="00482242">
      <w:pPr>
        <w:numPr>
          <w:ilvl w:val="0"/>
          <w:numId w:val="1"/>
        </w:numPr>
        <w:spacing w:after="0" w:line="276" w:lineRule="auto"/>
        <w:ind w:left="426"/>
        <w:jc w:val="both"/>
        <w:rPr>
          <w:rFonts w:cs="Times New Roman"/>
          <w:kern w:val="2"/>
          <w:lang w:val="tr-TR" w:eastAsia="en-US"/>
          <w14:ligatures w14:val="standardContextual"/>
        </w:rPr>
      </w:pP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Students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selected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this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program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with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r>
        <w:rPr>
          <w:rFonts w:cs="Times New Roman"/>
          <w:kern w:val="2"/>
          <w:lang w:val="tr-TR" w:eastAsia="en-US"/>
          <w14:ligatures w14:val="standardContextual"/>
        </w:rPr>
        <w:t xml:space="preserve">an </w:t>
      </w:r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Erasmus+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grant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will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receive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700 Euro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per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month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(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same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for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all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 </w:t>
      </w:r>
      <w:proofErr w:type="spellStart"/>
      <w:r w:rsidRPr="00A51E53">
        <w:rPr>
          <w:rFonts w:cs="Times New Roman"/>
          <w:kern w:val="2"/>
          <w:lang w:val="tr-TR" w:eastAsia="en-US"/>
          <w14:ligatures w14:val="standardContextual"/>
        </w:rPr>
        <w:t>countries</w:t>
      </w:r>
      <w:proofErr w:type="spellEnd"/>
      <w:r w:rsidRPr="00A51E53">
        <w:rPr>
          <w:rFonts w:cs="Times New Roman"/>
          <w:kern w:val="2"/>
          <w:lang w:val="tr-TR" w:eastAsia="en-US"/>
          <w14:ligatures w14:val="standardContextual"/>
        </w:rPr>
        <w:t xml:space="preserve">)  </w:t>
      </w:r>
    </w:p>
    <w:p w14:paraId="1E0AE420" w14:textId="458296AB" w:rsidR="00532D4D" w:rsidRDefault="005D3232">
      <w:pPr>
        <w:numPr>
          <w:ilvl w:val="0"/>
          <w:numId w:val="1"/>
        </w:numPr>
        <w:spacing w:after="0" w:line="276" w:lineRule="auto"/>
        <w:ind w:left="426"/>
        <w:jc w:val="both"/>
      </w:pPr>
      <w:r>
        <w:t xml:space="preserve">Travel support will change between </w:t>
      </w:r>
      <w:r>
        <w:rPr>
          <w:b/>
        </w:rPr>
        <w:t xml:space="preserve">180€ and 1500€ </w:t>
      </w:r>
      <w:r>
        <w:t xml:space="preserve">according to the city of the university where the student will study. The distance between </w:t>
      </w:r>
      <w:r w:rsidR="00482242">
        <w:t>Istanbul</w:t>
      </w:r>
      <w:r>
        <w:t xml:space="preserve"> and the specific city is calculated via the following link:</w:t>
      </w:r>
    </w:p>
    <w:p w14:paraId="22DE5BD5" w14:textId="77777777" w:rsidR="00532D4D" w:rsidRDefault="00000000">
      <w:pPr>
        <w:spacing w:after="0" w:line="276" w:lineRule="auto"/>
        <w:ind w:left="66"/>
        <w:jc w:val="both"/>
      </w:pPr>
      <w:hyperlink r:id="rId14">
        <w:r w:rsidR="005D3232">
          <w:rPr>
            <w:color w:val="0563C1"/>
            <w:u w:val="single"/>
          </w:rPr>
          <w:t>http://ec.europa.eu/education/tools/distance_en.htm</w:t>
        </w:r>
      </w:hyperlink>
    </w:p>
    <w:p w14:paraId="4775BF0D" w14:textId="77777777" w:rsidR="00532D4D" w:rsidRDefault="005D3232">
      <w:pPr>
        <w:spacing w:after="0" w:line="276" w:lineRule="auto"/>
        <w:ind w:left="66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6D9FB472" wp14:editId="22DA751F">
            <wp:simplePos x="0" y="0"/>
            <wp:positionH relativeFrom="column">
              <wp:posOffset>-90169</wp:posOffset>
            </wp:positionH>
            <wp:positionV relativeFrom="paragraph">
              <wp:posOffset>273050</wp:posOffset>
            </wp:positionV>
            <wp:extent cx="5760720" cy="1380490"/>
            <wp:effectExtent l="0" t="0" r="0" b="0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2F2E8E" w14:textId="77777777" w:rsidR="00532D4D" w:rsidRDefault="00532D4D">
      <w:pPr>
        <w:spacing w:after="0" w:line="276" w:lineRule="auto"/>
        <w:ind w:left="66"/>
        <w:jc w:val="both"/>
      </w:pPr>
    </w:p>
    <w:p w14:paraId="2C19AAB2" w14:textId="77777777" w:rsidR="00532D4D" w:rsidRDefault="00532D4D">
      <w:pPr>
        <w:spacing w:after="0" w:line="276" w:lineRule="auto"/>
        <w:ind w:left="66"/>
        <w:jc w:val="both"/>
        <w:rPr>
          <w:u w:val="single"/>
        </w:rPr>
      </w:pPr>
    </w:p>
    <w:p w14:paraId="6FB62F79" w14:textId="77777777" w:rsidR="00532D4D" w:rsidRDefault="005D32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u w:val="single"/>
        </w:rPr>
      </w:pPr>
      <w:r>
        <w:rPr>
          <w:color w:val="000000"/>
        </w:rPr>
        <w:t>Personal spending such as visa; book and stationery; food and drinks; and health insurance are the student’s responsibility.</w:t>
      </w:r>
    </w:p>
    <w:p w14:paraId="3B4839BB" w14:textId="758B1BF5" w:rsidR="00532D4D" w:rsidRDefault="004822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5D3232">
        <w:rPr>
          <w:color w:val="000000"/>
        </w:rPr>
        <w:t xml:space="preserve">0 percent of the grant payments are done before the mobility. The rest is paid after the student completes the program and returns to </w:t>
      </w:r>
      <w:r>
        <w:rPr>
          <w:color w:val="000000"/>
        </w:rPr>
        <w:t>AU successfully.</w:t>
      </w:r>
    </w:p>
    <w:p w14:paraId="5CDB8FAD" w14:textId="74BC6E3A" w:rsidR="00532D4D" w:rsidRDefault="005D32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It is possible to participate in the program without </w:t>
      </w:r>
      <w:r w:rsidR="0074297B">
        <w:rPr>
          <w:color w:val="000000"/>
        </w:rPr>
        <w:t xml:space="preserve">a </w:t>
      </w:r>
      <w:r>
        <w:rPr>
          <w:color w:val="000000"/>
        </w:rPr>
        <w:t>grant as well.</w:t>
      </w:r>
    </w:p>
    <w:sectPr w:rsidR="00532D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784F"/>
    <w:multiLevelType w:val="multilevel"/>
    <w:tmpl w:val="7A161B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3DA"/>
    <w:multiLevelType w:val="multilevel"/>
    <w:tmpl w:val="D6F89A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3E33A62"/>
    <w:multiLevelType w:val="multilevel"/>
    <w:tmpl w:val="FF364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7C2"/>
    <w:multiLevelType w:val="multilevel"/>
    <w:tmpl w:val="2BF26E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3A03"/>
    <w:multiLevelType w:val="hybridMultilevel"/>
    <w:tmpl w:val="67328914"/>
    <w:lvl w:ilvl="0" w:tplc="D4404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2F04"/>
    <w:multiLevelType w:val="multilevel"/>
    <w:tmpl w:val="C88A0E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1147"/>
    <w:multiLevelType w:val="hybridMultilevel"/>
    <w:tmpl w:val="D68EA37A"/>
    <w:lvl w:ilvl="0" w:tplc="1EA4D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1799">
    <w:abstractNumId w:val="2"/>
  </w:num>
  <w:num w:numId="2" w16cid:durableId="1976064547">
    <w:abstractNumId w:val="3"/>
  </w:num>
  <w:num w:numId="3" w16cid:durableId="280263715">
    <w:abstractNumId w:val="0"/>
  </w:num>
  <w:num w:numId="4" w16cid:durableId="313417359">
    <w:abstractNumId w:val="5"/>
  </w:num>
  <w:num w:numId="5" w16cid:durableId="295990822">
    <w:abstractNumId w:val="1"/>
  </w:num>
  <w:num w:numId="6" w16cid:durableId="794569522">
    <w:abstractNumId w:val="4"/>
  </w:num>
  <w:num w:numId="7" w16cid:durableId="759563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4D"/>
    <w:rsid w:val="00001D01"/>
    <w:rsid w:val="000B44B1"/>
    <w:rsid w:val="001F6CBD"/>
    <w:rsid w:val="002337EB"/>
    <w:rsid w:val="002615E9"/>
    <w:rsid w:val="002E74F1"/>
    <w:rsid w:val="00482242"/>
    <w:rsid w:val="00532D4D"/>
    <w:rsid w:val="005D3232"/>
    <w:rsid w:val="00640E8A"/>
    <w:rsid w:val="0074297B"/>
    <w:rsid w:val="007779D3"/>
    <w:rsid w:val="008B6AAE"/>
    <w:rsid w:val="00A51E53"/>
    <w:rsid w:val="00AC4CEA"/>
    <w:rsid w:val="00AD01B3"/>
    <w:rsid w:val="00BE2D1D"/>
    <w:rsid w:val="00CD4FC6"/>
    <w:rsid w:val="00DB1B79"/>
    <w:rsid w:val="00F3108B"/>
    <w:rsid w:val="00F42588"/>
    <w:rsid w:val="00F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718C5"/>
  <w15:docId w15:val="{8093C0FA-4189-4FCF-B043-1E18432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F1A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3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BA1743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81772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A51E53"/>
    <w:rPr>
      <w:b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37E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F6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9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3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diYWQxZDQtOTlhOC00NmY5LTgyMzctMGJjMGYyZWEyYTBk%40thread.v2/0?context=%7b%22Tid%22%3a%22d4ef65a2-079c-4516-8bd5-ee6e3b2ce456%22%2c%22Oid%22%3a%2200d85ef0-60b2-4648-bc11-e231456e67d6%22%7d" TargetMode="External"/><Relationship Id="rId13" Type="http://schemas.openxmlformats.org/officeDocument/2006/relationships/hyperlink" Target="https://global.altinbas.edu.tr/?page_id=25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global.altinbas.edu.tr/wp-content/uploads/2024/05/University-List-2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global.altinbas.edu.tr/wp-content/uploads/2024/05/How-to-apply-related-to-proposal-3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TNjNmZhZmQtY2VjMi00ZjlmLWFkMzEtZTMzMzY2MDgwYmQ4%40thread.v2/0?context=%7b%22Tid%22%3a%22d4ef65a2-079c-4516-8bd5-ee6e3b2ce456%22%2c%22Oid%22%3a%2238413690-2157-4371-91d4-e2dae253ae5a%22%7d" TargetMode="External"/><Relationship Id="rId14" Type="http://schemas.openxmlformats.org/officeDocument/2006/relationships/hyperlink" Target="http://ec.europa.eu/education/tools/distance_en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o5bl7KX/XfvU+ZiPK8JiaxSHA==">AMUW2mX5LtZoBESHwhr4nKEhnstQ4OOXg/+7DEzftGQZC3D1tBsGQy8q/kDNqVcY7afl/mO3ZhvOhpYCBSPXN/CJfi2HcFyiv+5YCXjKoeoQcp3o20nCKTw236qJSENBjHtwEU2kW3aP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1890</Words>
  <Characters>10194</Characters>
  <Application>Microsoft Office Word</Application>
  <DocSecurity>0</DocSecurity>
  <Lines>180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Ahmet Bilgekağan ÖMÜR</cp:lastModifiedBy>
  <cp:revision>6</cp:revision>
  <dcterms:created xsi:type="dcterms:W3CDTF">2024-05-02T08:47:00Z</dcterms:created>
  <dcterms:modified xsi:type="dcterms:W3CDTF">2024-05-02T12:05:00Z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d574f3a4eb43e8e9ff3f71e1d6e77cc82505150ca9198dfc50ecb7585fd44b6e</vt:lpwstr>
  </property>
</Properties>
</file>